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6321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21617F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>
        <w:rPr>
          <w:rFonts w:ascii="Tahoma" w:hAnsi="Tahoma" w:cs="Tahoma"/>
          <w:sz w:val="20"/>
          <w:szCs w:val="20"/>
        </w:rPr>
        <w:t xml:space="preserve">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1252CB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1252CB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F2C26" w:rsidRPr="005A25A3">
        <w:rPr>
          <w:rFonts w:ascii="Tahoma" w:hAnsi="Tahoma" w:cs="Tahoma"/>
          <w:sz w:val="20"/>
        </w:rPr>
        <w:t>и в Закупочной документации</w:t>
      </w:r>
      <w:r w:rsidR="007F2C26" w:rsidRPr="005A25A3">
        <w:rPr>
          <w:rFonts w:ascii="Tahoma" w:hAnsi="Tahoma" w:cs="Tahoma"/>
          <w:sz w:val="20"/>
          <w:szCs w:val="20"/>
        </w:rPr>
        <w:t xml:space="preserve">),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</w:t>
      </w:r>
      <w:r w:rsidRPr="005A25A3">
        <w:rPr>
          <w:rFonts w:ascii="Tahoma" w:hAnsi="Tahoma" w:cs="Tahoma"/>
          <w:sz w:val="20"/>
        </w:rPr>
        <w:lastRenderedPageBreak/>
        <w:t>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5A25A3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Срок </w:t>
      </w:r>
      <w:r w:rsidRPr="001252CB">
        <w:rPr>
          <w:rFonts w:ascii="Tahoma" w:hAnsi="Tahoma" w:cs="Tahoma"/>
          <w:b/>
          <w:sz w:val="20"/>
        </w:rPr>
        <w:t>поставки</w:t>
      </w:r>
      <w:r w:rsidRPr="001252CB">
        <w:rPr>
          <w:rFonts w:ascii="Tahoma" w:hAnsi="Tahoma" w:cs="Tahoma"/>
          <w:sz w:val="20"/>
        </w:rPr>
        <w:t xml:space="preserve"> </w:t>
      </w:r>
      <w:r w:rsidR="00A72EF6" w:rsidRPr="001252CB">
        <w:rPr>
          <w:rFonts w:ascii="Tahoma" w:hAnsi="Tahoma" w:cs="Tahoma"/>
          <w:sz w:val="20"/>
        </w:rPr>
        <w:t xml:space="preserve">Продукции (отдельных Партий Продукции) с даты подписания Договора по </w:t>
      </w:r>
      <w:r w:rsidR="0086276D">
        <w:rPr>
          <w:rFonts w:ascii="Tahoma" w:hAnsi="Tahoma" w:cs="Tahoma"/>
          <w:sz w:val="20"/>
        </w:rPr>
        <w:t>30</w:t>
      </w:r>
      <w:r w:rsidR="0086276D" w:rsidRPr="00523ECA">
        <w:rPr>
          <w:rFonts w:ascii="Tahoma" w:hAnsi="Tahoma" w:cs="Tahoma"/>
          <w:sz w:val="20"/>
        </w:rPr>
        <w:t>.0</w:t>
      </w:r>
      <w:r w:rsidR="0086276D">
        <w:rPr>
          <w:rFonts w:ascii="Tahoma" w:hAnsi="Tahoma" w:cs="Tahoma"/>
          <w:sz w:val="20"/>
        </w:rPr>
        <w:t>6</w:t>
      </w:r>
      <w:r w:rsidR="0086276D" w:rsidRPr="00523ECA">
        <w:rPr>
          <w:rFonts w:ascii="Tahoma" w:hAnsi="Tahoma" w:cs="Tahoma"/>
          <w:sz w:val="20"/>
        </w:rPr>
        <w:t>.202</w:t>
      </w:r>
      <w:r w:rsidR="0086276D">
        <w:rPr>
          <w:rFonts w:ascii="Tahoma" w:hAnsi="Tahoma" w:cs="Tahoma"/>
          <w:sz w:val="20"/>
        </w:rPr>
        <w:t>6</w:t>
      </w:r>
      <w:r w:rsidR="0086276D" w:rsidRPr="00523ECA">
        <w:rPr>
          <w:rFonts w:ascii="Tahoma" w:hAnsi="Tahoma" w:cs="Tahoma"/>
          <w:sz w:val="20"/>
        </w:rPr>
        <w:t xml:space="preserve"> </w:t>
      </w:r>
      <w:r w:rsidR="00A72EF6" w:rsidRPr="001252CB">
        <w:rPr>
          <w:rFonts w:ascii="Tahoma" w:hAnsi="Tahoma" w:cs="Tahoma"/>
          <w:sz w:val="20"/>
        </w:rPr>
        <w:t>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72EF6" w:rsidRPr="001252CB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5A25A3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5A25A3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 xml:space="preserve">) на основании выставленного </w:t>
      </w:r>
      <w:r w:rsidRPr="005A25A3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</w:t>
      </w:r>
      <w:r w:rsidR="0086276D">
        <w:rPr>
          <w:rFonts w:ascii="Tahoma" w:hAnsi="Tahoma" w:cs="Tahoma"/>
          <w:sz w:val="20"/>
        </w:rPr>
        <w:t>) от Стоимости Партии Продукции</w:t>
      </w:r>
      <w:r w:rsidRPr="005A25A3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6276D" w:rsidRDefault="0086276D" w:rsidP="0086276D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60CE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E07AD1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16F9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3A16F9" w:rsidRDefault="0086276D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6276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Яйцева Екатерина Ивановна</w:t>
      </w:r>
      <w:r w:rsidR="003A16F9"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86276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Ekaterina.Yaytseva@komiesc.ru</w:t>
      </w:r>
      <w:r w:rsid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A16F9" w:rsidRPr="00481FA0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Aleksey.Terentev@komiesc.ru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Стороны особо отмечают, что Покупатель на свое усмотрение принимает решение о выдаче </w:t>
      </w:r>
      <w:r w:rsidRPr="005A25A3">
        <w:rPr>
          <w:rFonts w:ascii="Tahoma" w:hAnsi="Tahoma" w:cs="Tahoma"/>
          <w:sz w:val="20"/>
        </w:rPr>
        <w:lastRenderedPageBreak/>
        <w:t>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1252CB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3937B8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1252CB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1252CB" w:rsidRPr="001252CB">
          <w:rPr>
            <w:rStyle w:val="af8"/>
            <w:rFonts w:ascii="Tahoma" w:eastAsia="Calibri" w:hAnsi="Tahoma" w:cs="Tahoma"/>
            <w:sz w:val="20"/>
            <w:szCs w:val="22"/>
            <w:lang w:eastAsia="en-US"/>
          </w:rPr>
          <w:t>http://zakupki.tplusgroup.ru/terms</w:t>
        </w:r>
      </w:hyperlink>
      <w:r w:rsidR="003937B8" w:rsidRPr="003937B8">
        <w:rPr>
          <w:rFonts w:ascii="Tahoma" w:hAnsi="Tahoma" w:cs="Tahoma"/>
          <w:sz w:val="20"/>
        </w:rPr>
        <w:t xml:space="preserve"> , и в Закупочной документации</w:t>
      </w:r>
      <w:r w:rsidRPr="005A25A3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1252CB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</w:t>
      </w:r>
      <w:r w:rsidRPr="005A25A3">
        <w:rPr>
          <w:rFonts w:ascii="Tahoma" w:hAnsi="Tahoma" w:cs="Tahoma"/>
          <w:sz w:val="20"/>
        </w:rPr>
        <w:lastRenderedPageBreak/>
        <w:t xml:space="preserve">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ФНС № ЕД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-7-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26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/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97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0@ от 19.12.20</w:t>
      </w:r>
      <w:r w:rsidR="0086276D">
        <w:rPr>
          <w:rFonts w:ascii="Tahoma" w:eastAsia="Tahoma" w:hAnsi="Tahoma" w:cs="Tahoma"/>
          <w:color w:val="000000"/>
          <w:sz w:val="20"/>
          <w:szCs w:val="24"/>
          <w:lang w:bidi="ru-RU"/>
        </w:rPr>
        <w:t>23</w:t>
      </w:r>
      <w:r w:rsidR="0086276D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100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3A16F9" w:rsidRPr="00C4584B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C4584B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E07AD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E20117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E20117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8627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86276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86276D">
        <w:rPr>
          <w:rFonts w:ascii="Tahoma" w:hAnsi="Tahoma" w:cs="Tahoma"/>
          <w:sz w:val="20"/>
        </w:rPr>
        <w:t>2025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6276D" w:rsidRPr="005A25A3" w:rsidRDefault="0086276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86276D">
        <w:rPr>
          <w:rFonts w:ascii="Tahoma" w:hAnsi="Tahoma" w:cs="Tahoma"/>
          <w:sz w:val="20"/>
        </w:rPr>
        <w:t>2025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5A25A3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CF3812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Р/с № 0702810828000114785 в Коми Отделение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CF3812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86276D">
              <w:rPr>
                <w:rFonts w:ascii="Tahoma" w:hAnsi="Tahoma" w:cs="Tahoma"/>
                <w:sz w:val="20"/>
              </w:rPr>
              <w:t>2025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="007D51B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86276D">
        <w:rPr>
          <w:rFonts w:ascii="Tahoma" w:eastAsia="Times New Roman" w:hAnsi="Tahoma" w:cs="Tahoma"/>
          <w:b/>
          <w:sz w:val="20"/>
          <w:szCs w:val="20"/>
          <w:lang w:eastAsia="ru-RU"/>
        </w:rPr>
        <w:t>2025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86276D">
        <w:rPr>
          <w:rFonts w:ascii="Tahoma" w:eastAsia="Times New Roman" w:hAnsi="Tahoma" w:cs="Tahoma"/>
          <w:b/>
          <w:sz w:val="20"/>
          <w:szCs w:val="20"/>
          <w:lang w:eastAsia="ru-RU"/>
        </w:rPr>
        <w:t>6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5A25A3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</w:rPr>
        <w:br w:type="page"/>
      </w: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1252C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1252CB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1252C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A72EF6" w:rsidRPr="001252CB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1252CB">
        <w:rPr>
          <w:rFonts w:ascii="Tahoma" w:hAnsi="Tahoma" w:cs="Tahoma"/>
          <w:sz w:val="20"/>
          <w:szCs w:val="20"/>
          <w:lang w:bidi="ru-RU"/>
        </w:rPr>
        <w:t xml:space="preserve"> для нужд 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277CA9" w:rsidRPr="001252CB">
        <w:rPr>
          <w:rFonts w:ascii="Tahoma" w:hAnsi="Tahoma" w:cs="Tahoma"/>
          <w:sz w:val="20"/>
          <w:szCs w:val="20"/>
          <w:lang w:bidi="ru-RU"/>
        </w:rPr>
        <w:t>«</w:t>
      </w:r>
      <w:r w:rsidR="003A16F9" w:rsidRPr="001252CB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3A16F9" w:rsidRPr="001252CB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1252CB">
        <w:rPr>
          <w:rFonts w:ascii="Tahoma" w:hAnsi="Tahoma" w:cs="Tahoma"/>
          <w:sz w:val="20"/>
          <w:szCs w:val="20"/>
          <w:lang w:bidi="ru-RU"/>
        </w:rPr>
        <w:t>),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 именуемого в дальнейшем «Покупатель</w:t>
      </w:r>
      <w:r w:rsidR="003A16F9">
        <w:rPr>
          <w:rFonts w:ascii="Tahoma" w:hAnsi="Tahoma" w:cs="Tahoma"/>
          <w:sz w:val="20"/>
          <w:szCs w:val="20"/>
          <w:lang w:bidi="ru-RU"/>
        </w:rPr>
        <w:t>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86276D">
        <w:rPr>
          <w:rFonts w:ascii="Tahoma" w:hAnsi="Tahoma" w:cs="Tahoma"/>
          <w:sz w:val="20"/>
        </w:rPr>
        <w:t>30</w:t>
      </w:r>
      <w:r w:rsidR="003A59AC" w:rsidRPr="005A25A3">
        <w:rPr>
          <w:rFonts w:ascii="Tahoma" w:hAnsi="Tahoma" w:cs="Tahoma"/>
          <w:sz w:val="20"/>
        </w:rPr>
        <w:t>.0</w:t>
      </w:r>
      <w:r w:rsidR="0086276D">
        <w:rPr>
          <w:rFonts w:ascii="Tahoma" w:hAnsi="Tahoma" w:cs="Tahoma"/>
          <w:sz w:val="20"/>
        </w:rPr>
        <w:t>6</w:t>
      </w:r>
      <w:r w:rsidR="003A59AC" w:rsidRPr="005A25A3">
        <w:rPr>
          <w:rFonts w:ascii="Tahoma" w:hAnsi="Tahoma" w:cs="Tahoma"/>
          <w:sz w:val="20"/>
        </w:rPr>
        <w:t>.202</w:t>
      </w:r>
      <w:r w:rsidR="0086276D">
        <w:rPr>
          <w:rFonts w:ascii="Tahoma" w:hAnsi="Tahoma" w:cs="Tahoma"/>
          <w:sz w:val="20"/>
        </w:rPr>
        <w:t>6</w:t>
      </w:r>
      <w:r w:rsidR="003A59AC" w:rsidRPr="005A25A3">
        <w:rPr>
          <w:rFonts w:ascii="Tahoma" w:hAnsi="Tahoma" w:cs="Tahoma"/>
          <w:sz w:val="20"/>
        </w:rPr>
        <w:t xml:space="preserve">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>течение</w:t>
      </w:r>
      <w:r w:rsidR="00816321">
        <w:rPr>
          <w:rFonts w:ascii="Tahoma" w:hAnsi="Tahoma" w:cs="Tahoma"/>
          <w:sz w:val="20"/>
        </w:rPr>
        <w:t xml:space="preserve"> 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6321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) </w:t>
      </w:r>
      <w:r w:rsidRPr="005A25A3">
        <w:rPr>
          <w:rFonts w:ascii="Tahoma" w:hAnsi="Tahoma" w:cs="Tahoma"/>
          <w:sz w:val="20"/>
          <w:szCs w:val="20"/>
        </w:rPr>
        <w:t>Покупателя, находящи</w:t>
      </w:r>
      <w:r w:rsidR="003A16F9">
        <w:rPr>
          <w:rFonts w:ascii="Tahoma" w:hAnsi="Tahoma" w:cs="Tahoma"/>
          <w:sz w:val="20"/>
          <w:szCs w:val="20"/>
        </w:rPr>
        <w:t>йся</w:t>
      </w:r>
      <w:r w:rsidRPr="005A25A3">
        <w:rPr>
          <w:rFonts w:ascii="Tahoma" w:hAnsi="Tahoma" w:cs="Tahoma"/>
          <w:sz w:val="20"/>
          <w:szCs w:val="20"/>
        </w:rPr>
        <w:t xml:space="preserve"> по адрес</w:t>
      </w:r>
      <w:r w:rsidR="003A16F9">
        <w:rPr>
          <w:rFonts w:ascii="Tahoma" w:hAnsi="Tahoma" w:cs="Tahoma"/>
          <w:sz w:val="20"/>
          <w:szCs w:val="20"/>
        </w:rPr>
        <w:t>у</w:t>
      </w:r>
      <w:r w:rsidRPr="005A25A3">
        <w:rPr>
          <w:rFonts w:ascii="Tahoma" w:hAnsi="Tahoma" w:cs="Tahoma"/>
          <w:sz w:val="20"/>
          <w:szCs w:val="20"/>
        </w:rPr>
        <w:t>:</w:t>
      </w:r>
    </w:p>
    <w:p w:rsidR="003A16F9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86276D" w:rsidRPr="00D3338D" w:rsidRDefault="0086276D" w:rsidP="008627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>Упаковка поставляемой продукции должна быть промаркирована в случае если объем единовременной поставки больше 10 ПУ. Каждый пакет/коробка, в которые упаковано несколько единиц продукции подлежат обязательной нумерации с нанесением номера как минимум на двух сторонах пакет/коробки укрупненной упаковки, эти же номера пакета/коробки указываются в реестре поставляемого оборудования с привязкой к заводским номерам продукции.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1252CB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A72EF6" w:rsidRPr="001252CB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1252CB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</w:t>
      </w:r>
      <w:r w:rsidRPr="005A25A3">
        <w:rPr>
          <w:rFonts w:ascii="Tahoma" w:hAnsi="Tahoma" w:cs="Tahoma"/>
          <w:b/>
          <w:bCs/>
          <w:sz w:val="20"/>
          <w:lang w:bidi="ru-RU"/>
        </w:rPr>
        <w:t xml:space="preserve"> электрической энергии)</w:t>
      </w:r>
    </w:p>
    <w:p w:rsidR="006A1FC6" w:rsidRPr="005A25A3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B73A30" w:rsidRPr="00B73A30" w:rsidRDefault="00B73A30" w:rsidP="00B73A3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73A30">
        <w:rPr>
          <w:rFonts w:ascii="Tahoma" w:hAnsi="Tahoma" w:cs="Tahoma"/>
          <w:sz w:val="2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:rsidR="002E2B81" w:rsidRPr="005A25A3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5A25A3">
        <w:rPr>
          <w:rFonts w:ascii="Tahoma" w:hAnsi="Tahoma" w:cs="Tahoma"/>
          <w:sz w:val="20"/>
        </w:rPr>
        <w:t xml:space="preserve"> (но не менее 6)</w:t>
      </w:r>
      <w:r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>
        <w:rPr>
          <w:rFonts w:ascii="Tahoma" w:hAnsi="Tahoma" w:cs="Tahoma"/>
          <w:sz w:val="20"/>
        </w:rPr>
        <w:t>в режиме клиента (но не менее 3).</w:t>
      </w:r>
    </w:p>
    <w:p w:rsidR="007F2C26" w:rsidRPr="005A25A3" w:rsidRDefault="00B73A30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11581">
        <w:rPr>
          <w:rFonts w:ascii="Tahoma" w:hAnsi="Tahoma" w:cs="Tahoma"/>
          <w:color w:val="000000"/>
          <w:sz w:val="2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D11581">
        <w:rPr>
          <w:rFonts w:ascii="Tahoma" w:hAnsi="Tahoma" w:cs="Tahoma"/>
          <w:bCs/>
          <w:color w:val="000000"/>
          <w:sz w:val="20"/>
        </w:rPr>
        <w:t>или иным наглядным знакам (не кодовым обозначениям)</w:t>
      </w:r>
      <w:r w:rsidRPr="00D11581">
        <w:rPr>
          <w:rFonts w:ascii="Tahoma" w:hAnsi="Tahoma" w:cs="Tahoma"/>
          <w:bCs/>
          <w:color w:val="1F497D"/>
          <w:sz w:val="20"/>
        </w:rPr>
        <w:t xml:space="preserve">, </w:t>
      </w:r>
      <w:r w:rsidRPr="00D11581">
        <w:rPr>
          <w:rFonts w:ascii="Tahoma" w:hAnsi="Tahoma" w:cs="Tahoma"/>
          <w:bCs/>
          <w:sz w:val="20"/>
        </w:rPr>
        <w:t xml:space="preserve">выводимым на ЖКИ прибора учета и </w:t>
      </w:r>
      <w:r w:rsidRPr="0032129B">
        <w:rPr>
          <w:rFonts w:ascii="Tahoma" w:hAnsi="Tahoma" w:cs="Tahoma"/>
          <w:bCs/>
          <w:sz w:val="20"/>
        </w:rPr>
        <w:t>описанным в руководстве по эксплуатации</w:t>
      </w:r>
      <w:r w:rsidRPr="00D11581">
        <w:rPr>
          <w:rFonts w:ascii="Tahoma" w:hAnsi="Tahoma" w:cs="Tahoma"/>
          <w:sz w:val="20"/>
        </w:rPr>
        <w:t>).</w:t>
      </w:r>
    </w:p>
    <w:p w:rsidR="007F2C26" w:rsidRPr="005A25A3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5A25A3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5A25A3">
        <w:rPr>
          <w:rFonts w:ascii="Tahoma" w:hAnsi="Tahoma" w:cs="Tahoma"/>
          <w:sz w:val="20"/>
        </w:rPr>
        <w:t>.</w:t>
      </w:r>
      <w:r w:rsidR="0086276D">
        <w:rPr>
          <w:rFonts w:ascii="Tahoma" w:hAnsi="Tahoma" w:cs="Tahoma"/>
          <w:sz w:val="20"/>
        </w:rPr>
        <w:t xml:space="preserve"> </w:t>
      </w:r>
      <w:r w:rsidR="0086276D" w:rsidRPr="00D3338D">
        <w:rPr>
          <w:rFonts w:ascii="Tahoma" w:hAnsi="Tahoma" w:cs="Tahoma"/>
          <w:color w:val="000000"/>
          <w:sz w:val="20"/>
        </w:rPr>
        <w:t>Реализация протокола обмена должна соответствовать стандарту СПОДЭС_4_СТО 34.01-5.1-006-2023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5A25A3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5A25A3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0"/>
        </w:trPr>
        <w:tc>
          <w:tcPr>
            <w:tcW w:w="7513" w:type="dxa"/>
            <w:vAlign w:val="center"/>
          </w:tcPr>
          <w:p w:rsidR="007F2C26" w:rsidRPr="005A25A3" w:rsidRDefault="007F2C26" w:rsidP="00F367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2261" w:type="dxa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DB488C" w:rsidRPr="005A25A3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5A25A3">
        <w:rPr>
          <w:rFonts w:ascii="Tahoma" w:hAnsi="Tahoma" w:cs="Tahoma"/>
          <w:sz w:val="20"/>
        </w:rPr>
        <w:t>о</w:t>
      </w:r>
      <w:r w:rsidRPr="005A25A3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5A25A3">
        <w:rPr>
          <w:rFonts w:ascii="Tahoma" w:hAnsi="Tahoma" w:cs="Tahoma"/>
          <w:sz w:val="20"/>
        </w:rPr>
        <w:t xml:space="preserve"> ООО «АСТЭК», ИНН 3328439073) </w:t>
      </w:r>
      <w:r w:rsidRPr="005A25A3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5A25A3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Полны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и актуальны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переч</w:t>
      </w:r>
      <w:r w:rsidR="005D11AA" w:rsidRPr="005A25A3">
        <w:rPr>
          <w:rFonts w:ascii="Tahoma" w:hAnsi="Tahoma" w:cs="Tahoma"/>
          <w:sz w:val="20"/>
        </w:rPr>
        <w:t>ень</w:t>
      </w:r>
      <w:r w:rsidRPr="005A25A3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5A25A3">
        <w:rPr>
          <w:rFonts w:ascii="Tahoma" w:hAnsi="Tahoma" w:cs="Tahoma"/>
          <w:sz w:val="20"/>
        </w:rPr>
        <w:t>е</w:t>
      </w:r>
      <w:r w:rsidRPr="005A25A3">
        <w:rPr>
          <w:rFonts w:ascii="Tahoma" w:hAnsi="Tahoma" w:cs="Tahoma"/>
          <w:sz w:val="20"/>
        </w:rPr>
        <w:t xml:space="preserve"> разработчик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 xml:space="preserve"> программн</w:t>
      </w:r>
      <w:r w:rsidR="005D11AA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комплекс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: http://www.sicon.ru/prod/aiis/devices/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86276D">
        <w:rPr>
          <w:rFonts w:ascii="Tahoma" w:hAnsi="Tahoma" w:cs="Tahoma"/>
          <w:sz w:val="20"/>
        </w:rPr>
        <w:t>2025</w:t>
      </w:r>
      <w:r w:rsidRPr="005A25A3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5A25A3">
        <w:rPr>
          <w:rFonts w:ascii="Tahoma" w:hAnsi="Tahoma" w:cs="Tahoma"/>
          <w:sz w:val="20"/>
        </w:rPr>
        <w:t xml:space="preserve">на перепрограммирование </w:t>
      </w:r>
      <w:r w:rsidRPr="005A25A3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5A25A3" w:rsidRDefault="003A16F9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22A42">
        <w:rPr>
          <w:rFonts w:ascii="Tahoma" w:hAnsi="Tahoma" w:cs="Tahoma"/>
          <w:sz w:val="20"/>
        </w:rPr>
        <w:t xml:space="preserve">АО «КЭСК» </w:t>
      </w:r>
      <w:r w:rsidR="007F2C26" w:rsidRPr="005A25A3">
        <w:rPr>
          <w:rFonts w:ascii="Tahoma" w:hAnsi="Tahoma" w:cs="Tahoma"/>
          <w:sz w:val="20"/>
        </w:rPr>
        <w:t xml:space="preserve">- </w:t>
      </w:r>
      <w:r w:rsidRPr="00E3198F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86A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5A25A3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5A25A3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5A25A3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5A25A3" w:rsidRDefault="00C21A8F" w:rsidP="00F63514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5A25A3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5A25A3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1252CB" w:rsidRDefault="00C21A8F" w:rsidP="00F63514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Замена батареи </w:t>
      </w:r>
      <w:r w:rsidRPr="001252CB">
        <w:rPr>
          <w:rFonts w:ascii="Tahoma" w:hAnsi="Tahoma" w:cs="Tahoma"/>
          <w:sz w:val="20"/>
        </w:rPr>
        <w:t xml:space="preserve">питания ПУ должна производиться без применения пайки. </w:t>
      </w:r>
      <w:r w:rsidR="003C6E0E" w:rsidRPr="001252CB">
        <w:rPr>
          <w:rFonts w:ascii="Tahoma" w:hAnsi="Tahoma" w:cs="Tahoma"/>
          <w:sz w:val="20"/>
        </w:rPr>
        <w:t xml:space="preserve">Срок службы </w:t>
      </w:r>
      <w:r w:rsidRPr="001252CB">
        <w:rPr>
          <w:rFonts w:ascii="Tahoma" w:hAnsi="Tahoma" w:cs="Tahoma"/>
          <w:sz w:val="20"/>
        </w:rPr>
        <w:t>батареи</w:t>
      </w:r>
      <w:r w:rsidR="008E461D" w:rsidRPr="001252CB">
        <w:rPr>
          <w:rFonts w:ascii="Tahoma" w:hAnsi="Tahoma" w:cs="Tahoma"/>
          <w:sz w:val="20"/>
        </w:rPr>
        <w:t xml:space="preserve"> долж</w:t>
      </w:r>
      <w:r w:rsidR="003C6E0E" w:rsidRPr="001252CB">
        <w:rPr>
          <w:rFonts w:ascii="Tahoma" w:hAnsi="Tahoma" w:cs="Tahoma"/>
          <w:sz w:val="20"/>
        </w:rPr>
        <w:t>ен</w:t>
      </w:r>
      <w:r w:rsidR="008E461D" w:rsidRPr="001252CB">
        <w:rPr>
          <w:rFonts w:ascii="Tahoma" w:hAnsi="Tahoma" w:cs="Tahoma"/>
          <w:sz w:val="20"/>
        </w:rPr>
        <w:t xml:space="preserve"> составлять</w:t>
      </w:r>
      <w:r w:rsidRPr="001252CB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1252CB">
        <w:rPr>
          <w:rFonts w:ascii="Tahoma" w:hAnsi="Tahoma" w:cs="Tahoma"/>
          <w:sz w:val="20"/>
        </w:rPr>
        <w:t>.</w:t>
      </w:r>
    </w:p>
    <w:p w:rsidR="00A72EF6" w:rsidRPr="001252CB" w:rsidRDefault="00A72EF6" w:rsidP="00A72EF6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A72EF6" w:rsidRPr="001252CB" w:rsidRDefault="00A72EF6" w:rsidP="00A72EF6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A72EF6" w:rsidRPr="001252CB" w:rsidRDefault="00A72EF6" w:rsidP="00A72EF6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:rsidR="00A72EF6" w:rsidRPr="001252CB" w:rsidRDefault="00A72EF6" w:rsidP="00A72EF6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1252CB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A72EF6" w:rsidRPr="005A25A3" w:rsidRDefault="00A72EF6" w:rsidP="00A72EF6">
      <w:pPr>
        <w:pStyle w:val="aa"/>
        <w:spacing w:afterLines="160" w:after="384" w:line="259" w:lineRule="auto"/>
        <w:ind w:firstLine="0"/>
      </w:pPr>
      <w:r w:rsidRPr="001252CB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1252CB">
        <w:rPr>
          <w:rFonts w:ascii="Tahoma" w:hAnsi="Tahoma" w:cs="Tahoma"/>
          <w:sz w:val="20"/>
          <w:lang w:val="en-US"/>
        </w:rPr>
        <w:t>RS</w:t>
      </w:r>
      <w:r w:rsidRPr="001252CB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1252CB">
        <w:rPr>
          <w:noProof/>
        </w:rPr>
        <w:drawing>
          <wp:inline distT="0" distB="0" distL="0" distR="0" wp14:anchorId="468528AA" wp14:editId="7D75ED6D">
            <wp:extent cx="5530215" cy="1639629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945" cy="1656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7D51B6" w:rsidRDefault="007F2C26" w:rsidP="007D51B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7D51B6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5A25A3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i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5A25A3">
        <w:rPr>
          <w:rFonts w:ascii="Tahoma" w:hAnsi="Tahoma" w:cs="Tahoma"/>
          <w:sz w:val="20"/>
          <w:szCs w:val="20"/>
        </w:rPr>
        <w:t>Максимальные габаритные размеры однофазного</w:t>
      </w:r>
      <w:r w:rsidR="007D51B6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 xml:space="preserve">ПУ ЭЭ 60 А с универсальным креплением на 3 точки и на </w:t>
      </w:r>
      <w:r w:rsidR="007F2C26" w:rsidRPr="005A25A3">
        <w:rPr>
          <w:rFonts w:ascii="Tahoma" w:hAnsi="Tahoma" w:cs="Tahoma"/>
          <w:sz w:val="20"/>
          <w:szCs w:val="20"/>
          <w:lang w:val="en-US"/>
        </w:rPr>
        <w:t>DIN</w:t>
      </w:r>
      <w:r w:rsidR="007F2C26" w:rsidRPr="005A25A3">
        <w:rPr>
          <w:rFonts w:ascii="Tahoma" w:hAnsi="Tahoma" w:cs="Tahoma"/>
          <w:sz w:val="20"/>
          <w:szCs w:val="20"/>
        </w:rPr>
        <w:t>-рейку:</w:t>
      </w:r>
    </w:p>
    <w:p w:rsidR="007F2C26" w:rsidRPr="005A25A3" w:rsidRDefault="00F367FB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 высоте не более 212</w:t>
      </w:r>
      <w:r w:rsidR="007F2C26"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ширине не более 1</w:t>
      </w:r>
      <w:r w:rsidR="00F367FB">
        <w:rPr>
          <w:rFonts w:ascii="Tahoma" w:hAnsi="Tahoma" w:cs="Tahoma"/>
          <w:sz w:val="20"/>
          <w:szCs w:val="20"/>
        </w:rPr>
        <w:t>35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F367FB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 глубине не более 76</w:t>
      </w:r>
      <w:bookmarkStart w:id="15" w:name="_GoBack"/>
      <w:bookmarkEnd w:id="15"/>
      <w:r w:rsidR="007F2C26" w:rsidRPr="00A37DB7">
        <w:rPr>
          <w:rFonts w:ascii="Tahoma" w:hAnsi="Tahoma" w:cs="Tahoma"/>
          <w:sz w:val="20"/>
          <w:szCs w:val="20"/>
        </w:rPr>
        <w:t xml:space="preserve"> мм.</w:t>
      </w:r>
    </w:p>
    <w:p w:rsidR="007F2C26" w:rsidRPr="005A25A3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A72EF6" w:rsidRPr="00A72EF6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:rsidR="007F2C26" w:rsidRPr="001252C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</w:t>
      </w:r>
      <w:r w:rsidRPr="001252CB">
        <w:rPr>
          <w:rFonts w:ascii="Tahoma" w:hAnsi="Tahoma" w:cs="Tahoma"/>
          <w:sz w:val="20"/>
          <w:szCs w:val="20"/>
        </w:rPr>
        <w:t xml:space="preserve">обязан направить своего представителя не позднее </w:t>
      </w:r>
      <w:r w:rsidRPr="001252CB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1252CB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A72EF6" w:rsidRPr="001252CB" w:rsidRDefault="00A72EF6" w:rsidP="00A72EF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252CB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252CB">
        <w:rPr>
          <w:rFonts w:ascii="Tahoma" w:hAnsi="Tahoma" w:cs="Tahoma"/>
          <w:sz w:val="20"/>
          <w:szCs w:val="20"/>
        </w:rPr>
        <w:t>О</w:t>
      </w:r>
      <w:r w:rsidR="007F2C26" w:rsidRPr="001252CB">
        <w:rPr>
          <w:rFonts w:ascii="Tahoma" w:hAnsi="Tahoma" w:cs="Tahoma"/>
          <w:sz w:val="20"/>
          <w:szCs w:val="20"/>
        </w:rPr>
        <w:t>бменн</w:t>
      </w:r>
      <w:r w:rsidRPr="001252CB">
        <w:rPr>
          <w:rFonts w:ascii="Tahoma" w:hAnsi="Tahoma" w:cs="Tahoma"/>
          <w:sz w:val="20"/>
          <w:szCs w:val="20"/>
        </w:rPr>
        <w:t>ый</w:t>
      </w:r>
      <w:r w:rsidR="007F2C26" w:rsidRPr="001252CB">
        <w:rPr>
          <w:rFonts w:ascii="Tahoma" w:hAnsi="Tahoma" w:cs="Tahoma"/>
          <w:sz w:val="20"/>
          <w:szCs w:val="20"/>
        </w:rPr>
        <w:t xml:space="preserve"> фонд</w:t>
      </w:r>
      <w:r w:rsidRPr="001252CB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1252CB">
        <w:rPr>
          <w:rFonts w:ascii="Tahoma" w:hAnsi="Tahoma" w:cs="Tahoma"/>
          <w:sz w:val="20"/>
          <w:szCs w:val="20"/>
        </w:rPr>
        <w:t>%</w:t>
      </w:r>
      <w:r w:rsidR="00774EDD" w:rsidRPr="001252CB">
        <w:rPr>
          <w:rFonts w:ascii="Tahoma" w:hAnsi="Tahoma" w:cs="Tahoma"/>
          <w:sz w:val="20"/>
          <w:szCs w:val="20"/>
        </w:rPr>
        <w:t xml:space="preserve"> </w:t>
      </w:r>
      <w:r w:rsidR="00774EDD" w:rsidRPr="001252CB">
        <w:t>(но не менее 2 единиц оборудования</w:t>
      </w:r>
      <w:r w:rsidR="00774EDD" w:rsidRPr="005A25A3">
        <w:t>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86276D" w:rsidRPr="00A31656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</w:t>
      </w:r>
      <w:r w:rsidRPr="00A31656">
        <w:rPr>
          <w:rFonts w:ascii="Tahoma" w:hAnsi="Tahoma" w:cs="Tahoma"/>
          <w:sz w:val="20"/>
          <w:szCs w:val="20"/>
        </w:rPr>
        <w:t xml:space="preserve">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86276D" w:rsidRPr="00A31656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оборудование </w:t>
      </w:r>
      <w:r w:rsidRPr="0049173A">
        <w:rPr>
          <w:rFonts w:ascii="Tahoma" w:hAnsi="Tahoma" w:cs="Tahoma"/>
          <w:sz w:val="20"/>
          <w:szCs w:val="20"/>
        </w:rPr>
        <w:t xml:space="preserve">в счет цены оборудования </w:t>
      </w:r>
      <w:r w:rsidRPr="00A31656">
        <w:rPr>
          <w:rFonts w:ascii="Tahoma" w:hAnsi="Tahoma" w:cs="Tahoma"/>
          <w:sz w:val="20"/>
          <w:szCs w:val="20"/>
        </w:rPr>
        <w:t>должно сопровождаться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:rsidR="0086276D" w:rsidRPr="00A31656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счет цены оборудования д</w:t>
      </w:r>
      <w:r w:rsidRPr="00A31656">
        <w:rPr>
          <w:rFonts w:ascii="Tahoma" w:hAnsi="Tahoma" w:cs="Tahoma"/>
          <w:sz w:val="20"/>
          <w:szCs w:val="20"/>
        </w:rPr>
        <w:t>олжно быть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86276D" w:rsidRPr="00D3338D" w:rsidRDefault="0086276D" w:rsidP="0086276D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 (Ред ОС и Альт СП Сервер). </w:t>
      </w:r>
    </w:p>
    <w:p w:rsidR="00687BC8" w:rsidRPr="005A25A3" w:rsidRDefault="0086276D" w:rsidP="0086276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Все программное обеспечение, предоставляемое </w:t>
      </w:r>
      <w:r w:rsidRPr="0049173A">
        <w:rPr>
          <w:rFonts w:ascii="Tahoma" w:hAnsi="Tahoma" w:cs="Tahoma"/>
          <w:sz w:val="20"/>
          <w:szCs w:val="20"/>
        </w:rPr>
        <w:t>в счет цены оборудования</w:t>
      </w:r>
      <w:r w:rsidRPr="00D3338D">
        <w:rPr>
          <w:rFonts w:ascii="Tahoma" w:eastAsiaTheme="minorEastAsia" w:hAnsi="Tahoma" w:cs="Tahoma"/>
          <w:sz w:val="20"/>
          <w:szCs w:val="20"/>
        </w:rPr>
        <w:t>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  <w:r w:rsidRPr="00A31656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lastRenderedPageBreak/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Приложение №1 </w:t>
      </w:r>
    </w:p>
    <w:p w:rsidR="007F2C2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277CA9" w:rsidRPr="005A25A3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5A25A3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885D1A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5A25A3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B73A30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="00B73A30" w:rsidRPr="00B73A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3A30" w:rsidRPr="00D1158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Реализация функционала должна соответствовать стандарту СПОДЭС_4_СТО 34.01-5.1-006-2023.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5A25A3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5A25A3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A72EF6" w:rsidRPr="001252CB" w:rsidTr="0086276D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72EF6" w:rsidRPr="001252CB" w:rsidRDefault="00A72EF6" w:rsidP="0086276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52C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72EF6" w:rsidRPr="001252CB" w:rsidRDefault="00A72EF6" w:rsidP="0086276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52C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A72EF6" w:rsidRPr="001252CB" w:rsidTr="0086276D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52CB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A72EF6" w:rsidRPr="005A25A3" w:rsidTr="0086276D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F6" w:rsidRPr="001252CB" w:rsidRDefault="00A72EF6" w:rsidP="0086276D">
            <w:pPr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1252C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A72EF6" w:rsidRPr="001252CB" w:rsidRDefault="00A72EF6" w:rsidP="0086276D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F6" w:rsidRPr="001252CB" w:rsidRDefault="00A72EF6" w:rsidP="0086276D">
            <w:pPr>
              <w:rPr>
                <w:rFonts w:ascii="Tahoma" w:hAnsi="Tahoma" w:cs="Tahoma"/>
                <w:sz w:val="20"/>
                <w:szCs w:val="20"/>
              </w:rPr>
            </w:pPr>
            <w:r w:rsidRPr="001252C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1252C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:rsidR="00A72EF6" w:rsidRPr="001252CB" w:rsidRDefault="00A72EF6" w:rsidP="0086276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252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252CB" w:rsidRPr="005A25A3" w:rsidRDefault="001252C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</w:t>
      </w:r>
      <w:r w:rsidR="000C2FF7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0C2FF7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86276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86276D">
              <w:rPr>
                <w:rFonts w:ascii="Tahoma" w:hAnsi="Tahoma" w:cs="Tahoma"/>
                <w:sz w:val="20"/>
                <w:szCs w:val="20"/>
              </w:rPr>
              <w:t>2025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1A" w:rsidRDefault="00885D1A" w:rsidP="000B39B4">
      <w:pPr>
        <w:spacing w:after="0" w:line="240" w:lineRule="auto"/>
      </w:pPr>
      <w:r>
        <w:separator/>
      </w:r>
    </w:p>
  </w:endnote>
  <w:endnote w:type="continuationSeparator" w:id="0">
    <w:p w:rsidR="00885D1A" w:rsidRDefault="00885D1A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1A" w:rsidRDefault="00885D1A" w:rsidP="000B39B4">
      <w:pPr>
        <w:spacing w:after="0" w:line="240" w:lineRule="auto"/>
      </w:pPr>
      <w:r>
        <w:separator/>
      </w:r>
    </w:p>
  </w:footnote>
  <w:footnote w:type="continuationSeparator" w:id="0">
    <w:p w:rsidR="00885D1A" w:rsidRDefault="00885D1A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C2FF7"/>
    <w:rsid w:val="000E065E"/>
    <w:rsid w:val="000E22F6"/>
    <w:rsid w:val="000E5993"/>
    <w:rsid w:val="000F491E"/>
    <w:rsid w:val="000F4C72"/>
    <w:rsid w:val="00112A12"/>
    <w:rsid w:val="00112EC0"/>
    <w:rsid w:val="001252CB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7CA9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4CE9"/>
    <w:rsid w:val="003A16F9"/>
    <w:rsid w:val="003A59AC"/>
    <w:rsid w:val="003B0F2D"/>
    <w:rsid w:val="003C6E0E"/>
    <w:rsid w:val="00415F19"/>
    <w:rsid w:val="00446E8B"/>
    <w:rsid w:val="00477D15"/>
    <w:rsid w:val="0049767F"/>
    <w:rsid w:val="004C08C4"/>
    <w:rsid w:val="004F2366"/>
    <w:rsid w:val="004F4C7F"/>
    <w:rsid w:val="00502D27"/>
    <w:rsid w:val="00506C55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4687E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51B6"/>
    <w:rsid w:val="007D7722"/>
    <w:rsid w:val="007F0F9A"/>
    <w:rsid w:val="007F2C26"/>
    <w:rsid w:val="007F67AC"/>
    <w:rsid w:val="008048C3"/>
    <w:rsid w:val="00816321"/>
    <w:rsid w:val="00820DCA"/>
    <w:rsid w:val="008269F0"/>
    <w:rsid w:val="0085792B"/>
    <w:rsid w:val="0086276D"/>
    <w:rsid w:val="00870685"/>
    <w:rsid w:val="00885D1A"/>
    <w:rsid w:val="00894415"/>
    <w:rsid w:val="008A633B"/>
    <w:rsid w:val="008B068A"/>
    <w:rsid w:val="008C2686"/>
    <w:rsid w:val="008E0136"/>
    <w:rsid w:val="008E2FB4"/>
    <w:rsid w:val="008E461D"/>
    <w:rsid w:val="008F4A69"/>
    <w:rsid w:val="00915817"/>
    <w:rsid w:val="009257E0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37CCD"/>
    <w:rsid w:val="00A37DB7"/>
    <w:rsid w:val="00A72EF6"/>
    <w:rsid w:val="00A768BE"/>
    <w:rsid w:val="00A81D74"/>
    <w:rsid w:val="00A9765F"/>
    <w:rsid w:val="00AA6298"/>
    <w:rsid w:val="00AD2A86"/>
    <w:rsid w:val="00AE566D"/>
    <w:rsid w:val="00AF7982"/>
    <w:rsid w:val="00B0599E"/>
    <w:rsid w:val="00B712D6"/>
    <w:rsid w:val="00B73A30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0BED"/>
    <w:rsid w:val="00C644DD"/>
    <w:rsid w:val="00C80B42"/>
    <w:rsid w:val="00CB5093"/>
    <w:rsid w:val="00CC71DB"/>
    <w:rsid w:val="00CD0499"/>
    <w:rsid w:val="00CD2357"/>
    <w:rsid w:val="00CE4FA6"/>
    <w:rsid w:val="00CF18E8"/>
    <w:rsid w:val="00CF5183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07AD1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208ED"/>
    <w:rsid w:val="00F32927"/>
    <w:rsid w:val="00F367FB"/>
    <w:rsid w:val="00F55D42"/>
    <w:rsid w:val="00F63514"/>
    <w:rsid w:val="00F6756B"/>
    <w:rsid w:val="00F73E13"/>
    <w:rsid w:val="00F82A36"/>
    <w:rsid w:val="00FA14A0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E8A36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11623</Words>
  <Characters>66255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4</cp:revision>
  <dcterms:created xsi:type="dcterms:W3CDTF">2024-12-25T08:35:00Z</dcterms:created>
  <dcterms:modified xsi:type="dcterms:W3CDTF">2024-12-25T11:49:00Z</dcterms:modified>
</cp:coreProperties>
</file>